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0" w:line="560" w:lineRule="exact"/>
        <w:jc w:val="center"/>
        <w:rPr>
          <w:rFonts w:hint="eastAsia" w:ascii="黑体" w:hAnsi="黑体" w:eastAsia="黑体" w:cs="Times New Roman"/>
          <w:b/>
          <w:kern w:val="2"/>
          <w:sz w:val="36"/>
          <w:szCs w:val="36"/>
        </w:rPr>
      </w:pPr>
      <w:r>
        <w:rPr>
          <w:rFonts w:hint="eastAsia" w:ascii="黑体" w:hAnsi="黑体" w:eastAsia="黑体" w:cs="Times New Roman"/>
          <w:b/>
          <w:kern w:val="2"/>
          <w:sz w:val="36"/>
          <w:szCs w:val="36"/>
        </w:rPr>
        <w:t>202</w:t>
      </w:r>
      <w:r>
        <w:rPr>
          <w:rFonts w:hint="eastAsia" w:ascii="黑体" w:hAnsi="黑体" w:eastAsia="黑体" w:cs="Times New Roman"/>
          <w:b/>
          <w:kern w:val="2"/>
          <w:sz w:val="36"/>
          <w:szCs w:val="36"/>
          <w:lang w:val="en-US" w:eastAsia="zh-CN"/>
        </w:rPr>
        <w:t>3</w:t>
      </w:r>
      <w:r>
        <w:rPr>
          <w:rFonts w:hint="eastAsia" w:ascii="黑体" w:hAnsi="黑体" w:eastAsia="黑体" w:cs="Times New Roman"/>
          <w:b/>
          <w:kern w:val="2"/>
          <w:sz w:val="36"/>
          <w:szCs w:val="36"/>
        </w:rPr>
        <w:t>年</w:t>
      </w:r>
      <w:r>
        <w:rPr>
          <w:rFonts w:hint="eastAsia" w:ascii="黑体" w:hAnsi="黑体" w:eastAsia="黑体" w:cs="Times New Roman"/>
          <w:b/>
          <w:kern w:val="2"/>
          <w:sz w:val="36"/>
          <w:szCs w:val="36"/>
          <w:lang w:val="en-US" w:eastAsia="zh-CN"/>
        </w:rPr>
        <w:t>隆昌市城关职业中学</w:t>
      </w:r>
      <w:r>
        <w:rPr>
          <w:rFonts w:hint="eastAsia" w:ascii="黑体" w:hAnsi="黑体" w:eastAsia="黑体" w:cs="Times New Roman"/>
          <w:b/>
          <w:kern w:val="2"/>
          <w:sz w:val="36"/>
          <w:szCs w:val="36"/>
        </w:rPr>
        <w:t>校技能大赛</w:t>
      </w:r>
    </w:p>
    <w:p>
      <w:pPr>
        <w:widowControl w:val="0"/>
        <w:adjustRightInd w:val="0"/>
        <w:snapToGrid w:val="0"/>
        <w:spacing w:after="0" w:line="560" w:lineRule="exact"/>
        <w:jc w:val="center"/>
        <w:rPr>
          <w:rFonts w:hint="eastAsia" w:ascii="黑体" w:hAnsi="黑体" w:eastAsia="黑体" w:cs="Times New Roman"/>
          <w:b/>
          <w:kern w:val="2"/>
          <w:sz w:val="36"/>
          <w:szCs w:val="36"/>
        </w:rPr>
      </w:pPr>
      <w:r>
        <w:rPr>
          <w:rFonts w:hint="eastAsia" w:ascii="黑体" w:hAnsi="黑体" w:eastAsia="黑体" w:cs="Times New Roman"/>
          <w:b/>
          <w:kern w:val="2"/>
          <w:sz w:val="36"/>
          <w:szCs w:val="36"/>
        </w:rPr>
        <w:t>赛项规程</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w:t>
      </w:r>
      <w:r>
        <w:rPr>
          <w:rFonts w:hint="eastAsia" w:ascii="黑体" w:hAnsi="黑体" w:eastAsia="黑体"/>
          <w:b/>
          <w:kern w:val="2"/>
          <w:sz w:val="36"/>
          <w:szCs w:val="36"/>
          <w:lang w:val="en-US" w:eastAsia="zh-CN"/>
        </w:rPr>
        <w:t>会计技能</w:t>
      </w:r>
      <w:r>
        <w:rPr>
          <w:rFonts w:hint="eastAsia" w:ascii="黑体" w:hAnsi="黑体" w:eastAsia="黑体"/>
          <w:b/>
          <w:kern w:val="2"/>
          <w:sz w:val="36"/>
          <w:szCs w:val="36"/>
        </w:rPr>
        <w:t>赛项）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lang w:val="en-US" w:eastAsia="zh-CN"/>
        </w:rPr>
        <w:t>一、</w:t>
      </w:r>
      <w:r>
        <w:rPr>
          <w:rFonts w:hint="eastAsia" w:ascii="仿宋_GB2312" w:hAnsi="仿宋" w:eastAsia="仿宋_GB2312" w:cs="Times New Roman"/>
          <w:kern w:val="0"/>
          <w:sz w:val="30"/>
          <w:szCs w:val="30"/>
        </w:rPr>
        <w:t xml:space="preserve">赛项名称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赛项编号：GZ-2021045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赛项名称：会计技能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英文名称：Accounting Skills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赛项组别：</w:t>
      </w:r>
      <w:r>
        <w:rPr>
          <w:rFonts w:hint="eastAsia" w:ascii="仿宋_GB2312" w:hAnsi="仿宋" w:eastAsia="仿宋_GB2312" w:cs="Times New Roman"/>
          <w:kern w:val="0"/>
          <w:sz w:val="30"/>
          <w:szCs w:val="30"/>
          <w:lang w:val="en-US" w:eastAsia="zh-CN"/>
        </w:rPr>
        <w:t>中职</w:t>
      </w:r>
      <w:r>
        <w:rPr>
          <w:rFonts w:hint="eastAsia" w:ascii="仿宋_GB2312" w:hAnsi="仿宋" w:eastAsia="仿宋_GB2312" w:cs="Times New Roman"/>
          <w:kern w:val="0"/>
          <w:sz w:val="30"/>
          <w:szCs w:val="30"/>
        </w:rPr>
        <w:t xml:space="preserve">组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赛项归属产业：财经商贸类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二、竞赛目的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深入贯彻落实《国家职业教育改革实施方案》等文件要求，坚持 以学生发展为中心，以就业为导向，积极探索新时代高层次技术技能 型会计人才培养模式，畅通技术技能型人才成长通道，拓展就业创业 本领，坚持赛训结合，通过竞赛，检验和展示高职院校财会类专业教 学改革成果和学生会计职业岗位通用技术以及职业能力，引领和促进 高职院校财会类专业教学改革，激发和调动行业企业关注和参与财会 类专业教学改革的主动性和积极性，深化产教融合，推动提升高职院 校财经类专业人才培养水平，增强学生社会竞争能力，提高具有实践 能力和创新能力的高层次高素质会计人才培养质量，实现“以赛促教 促学、以赛促建促改”之目标。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三、竞赛内容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一) 竞赛内容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竞赛包括会计专业理论知识测试、财务会计技能竞赛两个环节，采用团队（或个人）竞赛方式进行，总分 100分，其中会计专业理论知识测试环节共50%，财务会计技能竞赛环节 50%</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最终成绩按百分制折算。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1.会计专业理论知识测试环节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会计专业理论知识测试环节共 50分，每位选手满分 50 分，考核内容包括：财经法规与会计职业道德、会计制度设计、基础会计、初级会计实务等课程的理论知识。试题采用单选题、多选题、判断题和不定项选择题形式，选手采用相同试题同时间测试。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2.财务会计技能竞赛环节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财务会计技能竞赛环节共50 分，分资金出纳、成本会计、审核会计、会计主管4 个岗位合作完成企业业务处理。采用云财务核算平台，依据企业会计核算工作过程，融入财务共享服务中心的工作领域和工作任务，兼容信息化账务处理和财务共享中心票据录入处理两种账务处理模式，支持电子税务局网上纳税申报模式。竞赛案例以制造企业一个月的经济业务为背景，考核学生银行结算单据填制、在线票据整理、会计核算、凭证编制、业务审核、网银付款、成本计算与分析、纳税筹划、报表编制、纳税申报表填制等业务处理的技能。</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 竞赛内容及分值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①资金出纳岗位 (共 5 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包括在线支票签发、银行承兑汇票贴现、银行进账单填写，在线单据整理、网上电子支付业务、涉及收付款记账凭证的在线审核等内 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②成本会计岗位 (共 20分)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包括成本核算原始凭证填制、产品成本计算、成本核算相关的记账凭证编制、成本报表编制、成本分析等内容。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③审核会计岗位 (共10分)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包括在线票据审核、除成本核算以外的相关业务原始凭证的填</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sectPr>
          <w:headerReference r:id="rId3" w:type="default"/>
          <w:footerReference r:id="rId4" w:type="default"/>
          <w:pgSz w:w="11906" w:h="16839"/>
          <w:pgMar w:top="1422" w:right="1785" w:bottom="1362" w:left="1785" w:header="0" w:footer="1202" w:gutter="0"/>
          <w:cols w:space="720" w:num="1"/>
        </w:sect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制、除成本业务以外的记账凭证编制、记账凭证生成、在线凭证审核、账簿核对等内容。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④会计主管岗位 (共5 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包括账套创建，在线凭证审核、过账及结账，网上电子支付业务的审核授权，网上税费申报，资产负债表、利润表公式设置、财务报 表生成、报表分析及纳税筹划等内容。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 竞赛知识与技能范围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财务会计技能竞赛环节竞赛涉及的课程包括：财务会计基础、出纳实务、企业财务会计、成本核算与管理、纳税实务、会计综合实训 以及相关会计基本技能。</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竞赛内容涉及的经济业务范围为全国高等职业教育会计专业教学资源库项目所确定的教学内容范围。具体包括：</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①货币资金。库存现金核算及清查；银行存款核算与核对；其他货币资金的核算。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②交易性金融资产的核算。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③应收及预付款项。应收票据、应收账款、预付账款和其他应收款、应收股利、应收利息、长期应收款的核算；应收款项的减值。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④存货。存货 (原材料、库存商品、委托加工物资、周转材料) 收入、发出的核算；存货清查；存货减值。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⑤合同资产的核算。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⑥持有待售资产的核算。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⑦债权投资的核算。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⑧其他债权投资的核算。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⑨长期股权投资。长期股权投资成本法的核算；长期股权投资权益法的核算；长期股权投资减值。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sectPr>
          <w:footerReference r:id="rId5" w:type="default"/>
          <w:pgSz w:w="11906" w:h="16839"/>
          <w:pgMar w:top="1422" w:right="1705" w:bottom="1362" w:left="1785" w:header="0" w:footer="1202" w:gutter="0"/>
          <w:cols w:space="720" w:num="1"/>
        </w:sect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⑩其他权益工具投资的核算。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⑪固定资产和投资性房地产。固定资产增加、减少、折旧的核</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算；固定资产后续支出的核算；固定资产清查；固定资产减值；投资性房地产的取得、后续计量及处置的核算。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⑫使用权资产的核算。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⑬无形资产。无形资产的取得、摊销及处置的核算；无形资产减值。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⑭其他资产的核算。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⑮流动负债。短期借款的核算；交易性金融负债的核算；应付票据的核算；应付及预收款项的核算；合同负债的核算；应付职工薪酬的核算；应交税费的核算；应付股利、应付利息及其他应付款的核算；持有待售负债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⑯非流动负债。长期借款的核算；应付债券的核算；租赁负债的核算；长期应付款的核算；预计负债的核算；递延收益的核算；递延所得税负债的核算。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⑰债务重组的核算。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⑱非货币性资产交换的核算。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⑲合同取得成本的核算。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⑳合同履约成本的核算。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㉑应收退货成本的核算。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㉒所有者权益的核算。投入资本的核算；直接计入所有者权益利得与损失的核算；其他权益工具的核算；其他综合收益的核算；留存收益的核算。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㉓收入。销售商品收入的核算；提供劳务收入的核算；让渡资产使用权收入的核算。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sectPr>
          <w:footerReference r:id="rId6" w:type="default"/>
          <w:pgSz w:w="11906" w:h="16839"/>
          <w:pgMar w:top="1422" w:right="1785" w:bottom="1362" w:left="1785" w:header="0" w:footer="1202" w:gutter="0"/>
          <w:cols w:space="720" w:num="1"/>
        </w:sect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㉔资产处置损益的核算。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㉕其他收益的核算。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㉖成本费用。营业成本的核算；税金及附加的核算；期间费用的核算。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drawing>
          <wp:inline distT="0" distB="0" distL="0" distR="0">
            <wp:extent cx="155575" cy="18224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156130" cy="182539"/>
                    </a:xfrm>
                    <a:prstGeom prst="rect">
                      <a:avLst/>
                    </a:prstGeom>
                  </pic:spPr>
                </pic:pic>
              </a:graphicData>
            </a:graphic>
          </wp:inline>
        </w:drawing>
      </w:r>
      <w:r>
        <w:rPr>
          <w:rFonts w:hint="eastAsia" w:ascii="仿宋_GB2312" w:hAnsi="仿宋" w:eastAsia="仿宋_GB2312" w:cs="Times New Roman"/>
          <w:kern w:val="0"/>
          <w:sz w:val="30"/>
          <w:szCs w:val="30"/>
        </w:rPr>
        <w:t>产品成本核算。要素费用的归集和分配；生产费用在完工产品和在产品之间的归集和分配；产品生产成本的计算，包括品种法、分步法、分批法三种方法。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drawing>
          <wp:inline distT="0" distB="0" distL="0" distR="0">
            <wp:extent cx="155575" cy="1822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56130" cy="182539"/>
                    </a:xfrm>
                    <a:prstGeom prst="rect">
                      <a:avLst/>
                    </a:prstGeom>
                  </pic:spPr>
                </pic:pic>
              </a:graphicData>
            </a:graphic>
          </wp:inline>
        </w:drawing>
      </w:r>
      <w:r>
        <w:rPr>
          <w:rFonts w:hint="eastAsia" w:ascii="仿宋_GB2312" w:hAnsi="仿宋" w:eastAsia="仿宋_GB2312" w:cs="Times New Roman"/>
          <w:kern w:val="0"/>
          <w:sz w:val="30"/>
          <w:szCs w:val="30"/>
        </w:rPr>
        <w:t>利润。营业外收入、营业外支出的核算；所得税费用的核算；本年利润的结转和利润分配的核算。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drawing>
          <wp:inline distT="0" distB="0" distL="0" distR="0">
            <wp:extent cx="155575" cy="18224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156130" cy="182539"/>
                    </a:xfrm>
                    <a:prstGeom prst="rect">
                      <a:avLst/>
                    </a:prstGeom>
                  </pic:spPr>
                </pic:pic>
              </a:graphicData>
            </a:graphic>
          </wp:inline>
        </w:drawing>
      </w:r>
      <w:r>
        <w:rPr>
          <w:rFonts w:hint="eastAsia" w:ascii="仿宋_GB2312" w:hAnsi="仿宋" w:eastAsia="仿宋_GB2312" w:cs="Times New Roman"/>
          <w:kern w:val="0"/>
          <w:sz w:val="30"/>
          <w:szCs w:val="30"/>
        </w:rPr>
        <w:t>财务会计报告。资产负债表、利润表、现金流量表的编制。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drawing>
          <wp:inline distT="0" distB="0" distL="0" distR="0">
            <wp:extent cx="155575" cy="1822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156130" cy="182538"/>
                    </a:xfrm>
                    <a:prstGeom prst="rect">
                      <a:avLst/>
                    </a:prstGeom>
                  </pic:spPr>
                </pic:pic>
              </a:graphicData>
            </a:graphic>
          </wp:inline>
        </w:drawing>
      </w:r>
      <w:r>
        <w:rPr>
          <w:rFonts w:hint="eastAsia" w:ascii="仿宋_GB2312" w:hAnsi="仿宋" w:eastAsia="仿宋_GB2312" w:cs="Times New Roman"/>
          <w:kern w:val="0"/>
          <w:sz w:val="30"/>
          <w:szCs w:val="30"/>
        </w:rPr>
        <w:t>税费计算与申报。增值税、消费税、企业所得税、个人所得税、房产税、车船税、土地使用税等。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 特别说明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①团队赛四个岗位的业务按实际工作岗位职责、按照内部控制的原则划分，会计凭证的审核、业务流程处理在计算机内完成，由计算机自动评分。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②财务会计技能竞赛环节涉及的竞赛内容参照执行 2017 年印发的《企业会计准则第 22 号—金融工具确认和计量》 (财会〔2017〕7号) 、《企业会计准则第 23 号—金融资产转移》  (财会〔2017〕8 号) 、《企业会计准则第 24 号—套期会计》  (财会〔2017〕9 号) 、《企业会计准则第 37 号—金融工具列报》 (财会〔2017〕14 号) (简称新金融准则) 、《企业会计准则第 14 号— 收入》  (财会〔2017〕22 号，简称新收入准则) ，以及 2018 年印发的《企业会计准则第 21号—租赁》  (财会〔2018〕35 号，简称新租赁准则) ，2019 年印发的《企业会计准则第 7 号—非货币性资产交换》(财会〔2019〕8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（二）竞赛时长 竞赛总时长3小时</w:t>
      </w:r>
    </w:p>
    <w:p>
      <w:pPr>
        <w:keepNext w:val="0"/>
        <w:keepLines w:val="0"/>
        <w:pageBreakBefore w:val="0"/>
        <w:widowControl/>
        <w:kinsoku/>
        <w:wordWrap/>
        <w:overflowPunct/>
        <w:topLinePunct w:val="0"/>
        <w:autoSpaceDE/>
        <w:autoSpaceDN/>
        <w:bidi w:val="0"/>
        <w:adjustRightInd w:val="0"/>
        <w:snapToGrid w:val="0"/>
        <w:spacing w:after="0" w:line="560" w:lineRule="exact"/>
        <w:ind w:firstLine="602" w:firstLineChars="200"/>
        <w:jc w:val="left"/>
        <w:textAlignment w:val="auto"/>
        <w:rPr>
          <w:rFonts w:hint="eastAsia" w:ascii="仿宋_GB2312" w:hAnsi="仿宋" w:eastAsia="仿宋_GB2312" w:cs="Times New Roman"/>
          <w:b/>
          <w:bCs/>
          <w:kern w:val="0"/>
          <w:sz w:val="30"/>
          <w:szCs w:val="30"/>
        </w:rPr>
      </w:pPr>
      <w:r>
        <w:rPr>
          <w:rFonts w:hint="eastAsia" w:ascii="仿宋_GB2312" w:hAnsi="仿宋" w:eastAsia="仿宋_GB2312" w:cs="Times New Roman"/>
          <w:b/>
          <w:bCs/>
          <w:kern w:val="0"/>
          <w:sz w:val="30"/>
          <w:szCs w:val="30"/>
        </w:rPr>
        <w:t>四、竞赛方式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本赛项为团队（或个人）竞赛方式进行。</w:t>
      </w:r>
    </w:p>
    <w:p>
      <w:pPr>
        <w:keepNext w:val="0"/>
        <w:keepLines w:val="0"/>
        <w:pageBreakBefore w:val="0"/>
        <w:widowControl/>
        <w:kinsoku/>
        <w:wordWrap/>
        <w:overflowPunct/>
        <w:topLinePunct w:val="0"/>
        <w:autoSpaceDE/>
        <w:autoSpaceDN/>
        <w:bidi w:val="0"/>
        <w:adjustRightInd w:val="0"/>
        <w:snapToGrid w:val="0"/>
        <w:spacing w:after="0" w:line="560" w:lineRule="exact"/>
        <w:ind w:firstLine="602" w:firstLineChars="200"/>
        <w:jc w:val="left"/>
        <w:textAlignment w:val="auto"/>
        <w:rPr>
          <w:rFonts w:hint="eastAsia" w:ascii="仿宋_GB2312" w:hAnsi="仿宋" w:eastAsia="仿宋_GB2312" w:cs="Times New Roman"/>
          <w:b/>
          <w:bCs/>
          <w:kern w:val="0"/>
          <w:sz w:val="30"/>
          <w:szCs w:val="30"/>
        </w:rPr>
      </w:pPr>
      <w:r>
        <w:rPr>
          <w:rFonts w:hint="eastAsia" w:ascii="仿宋_GB2312" w:hAnsi="仿宋" w:eastAsia="仿宋_GB2312" w:cs="Times New Roman"/>
          <w:b/>
          <w:bCs/>
          <w:kern w:val="0"/>
          <w:sz w:val="30"/>
          <w:szCs w:val="30"/>
        </w:rPr>
        <w:t>五、竞赛流程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2" w:firstLineChars="200"/>
        <w:jc w:val="left"/>
        <w:textAlignment w:val="auto"/>
        <w:rPr>
          <w:rFonts w:hint="eastAsia" w:ascii="仿宋_GB2312" w:hAnsi="仿宋" w:eastAsia="仿宋_GB2312" w:cs="Times New Roman"/>
          <w:b/>
          <w:bCs/>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六、竞赛赛卷 本赛项竞赛试题采用不公开方式，赛前免费开放训练平台，使未购买软件的学校能够使用，降低参赛学校费用门槛。 </w:t>
      </w:r>
    </w:p>
    <w:p>
      <w:pPr>
        <w:keepNext w:val="0"/>
        <w:keepLines w:val="0"/>
        <w:pageBreakBefore w:val="0"/>
        <w:widowControl/>
        <w:kinsoku/>
        <w:wordWrap/>
        <w:overflowPunct/>
        <w:topLinePunct w:val="0"/>
        <w:autoSpaceDE/>
        <w:autoSpaceDN/>
        <w:bidi w:val="0"/>
        <w:adjustRightInd w:val="0"/>
        <w:snapToGrid w:val="0"/>
        <w:spacing w:after="0" w:line="560" w:lineRule="exact"/>
        <w:ind w:firstLine="602" w:firstLineChars="200"/>
        <w:jc w:val="left"/>
        <w:textAlignment w:val="auto"/>
        <w:rPr>
          <w:rFonts w:hint="eastAsia" w:ascii="仿宋_GB2312" w:hAnsi="仿宋" w:eastAsia="仿宋_GB2312" w:cs="Times New Roman"/>
          <w:b/>
          <w:bCs/>
          <w:kern w:val="0"/>
          <w:sz w:val="30"/>
          <w:szCs w:val="30"/>
        </w:rPr>
      </w:pPr>
      <w:r>
        <w:rPr>
          <w:rFonts w:hint="eastAsia" w:ascii="仿宋_GB2312" w:hAnsi="仿宋" w:eastAsia="仿宋_GB2312" w:cs="Times New Roman"/>
          <w:b/>
          <w:bCs/>
          <w:kern w:val="0"/>
          <w:sz w:val="30"/>
          <w:szCs w:val="30"/>
        </w:rPr>
        <w:t xml:space="preserve">七、竞赛规则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（一）报名规则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1.参赛选手资格：参赛选手须为2023年度中等职业学校全日制在籍学生，性别不限，年龄不超过21周岁（当年），年龄计算截止时间为2023年12月1日。</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2.本赛项为单人赛，多名参赛队员可配1名指导老师。</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3.队员变更：参赛选手和指导老师报名获得确认后不得随意更换，如因故需要变更参赛选手或指导老师，须由教导处批准。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4.教导处负责参赛学生的资格审查工作，并保存相关证明材料的复印件，以备查验。</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二）赛前准备。凡参赛选手、裁判员、工作人员、赛项组织者等均需按照要求准时到达赛项地点，领取相关证件，熟悉场地，做好赛前准备工作。比赛用计算机只允许安装规定的相关软件，现场为参赛选手统一提供用品用具及相关资料。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四）正式比赛。比赛现场所有参赛选手、指导教师、裁判员和其他工作人员须统一佩戴相关证件，按照相关规定出入指定区域，不同证件有不同的区域限制，以保持赛场秩序良好。参赛选手须遵守赛场赛项有关规定，遵从裁判长、裁判员的现场调度和指挥，按照赛场指令完成任务。选手进入赛场，不得携带任何用品用具、工具书、参考书等相关资料。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五）在竞赛过程中，参赛选手不得随意离开赛场，参赛选手不得大声喧哗、使用任何移动存储设备、开启无线网络、非法访问他人计算机。赛场技术服务区将实时监控上述行为。如遇硬件软件故障或其他情况，须按照情况类别举手示意，由项目裁判长按有关规定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（六）竞赛结束后，不得将竞赛涉及的用品用具及资料带出赛场。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（七）成绩评定与结果公布。竞赛成绩通过计算机自动评分。竞赛过程中相关技术人员不得随意操作系统，从计算机系统输出成绩的全过程需要接受两名监督仲裁员的监督，并进行现场录像。系统输出的竞赛成绩 U 盘，需在监督仲裁员的监督下由两个裁判员一起移交给加密裁判合并计算竞赛成绩，并经裁判长及有关人员签字确认后在赛场外张贴成绩单公布最终比赛成绩。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（八）其他。参赛选手须按时检录。检录时不到者，视为自动放弃参赛权。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（九）对于违反上述规定的，总裁判长有权终止其个人的比赛，劝令其离开赛场。 </w:t>
      </w:r>
    </w:p>
    <w:p>
      <w:pPr>
        <w:keepNext w:val="0"/>
        <w:keepLines w:val="0"/>
        <w:pageBreakBefore w:val="0"/>
        <w:widowControl/>
        <w:kinsoku/>
        <w:wordWrap/>
        <w:overflowPunct/>
        <w:topLinePunct w:val="0"/>
        <w:autoSpaceDE/>
        <w:autoSpaceDN/>
        <w:bidi w:val="0"/>
        <w:adjustRightInd w:val="0"/>
        <w:snapToGrid w:val="0"/>
        <w:spacing w:after="0" w:line="560" w:lineRule="exact"/>
        <w:ind w:firstLine="602" w:firstLineChars="200"/>
        <w:jc w:val="left"/>
        <w:textAlignment w:val="auto"/>
        <w:rPr>
          <w:rFonts w:hint="eastAsia" w:ascii="仿宋_GB2312" w:hAnsi="仿宋" w:eastAsia="仿宋_GB2312" w:cs="Times New Roman"/>
          <w:b/>
          <w:bCs/>
          <w:kern w:val="0"/>
          <w:sz w:val="30"/>
          <w:szCs w:val="30"/>
        </w:rPr>
      </w:pPr>
      <w:r>
        <w:rPr>
          <w:rFonts w:hint="eastAsia" w:ascii="仿宋_GB2312" w:hAnsi="仿宋" w:eastAsia="仿宋_GB2312" w:cs="Times New Roman"/>
          <w:b/>
          <w:bCs/>
          <w:kern w:val="0"/>
          <w:sz w:val="30"/>
          <w:szCs w:val="30"/>
        </w:rPr>
        <w:t xml:space="preserve">八、竞赛环境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（一）竞赛场地设在计算机机房内，场地内应设置满足不少于参赛选手人数的竞赛环境，并准备至少两个备用机。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（二）竞赛场地内设置背景板、宣传横幅及壁挂图，营造竞赛氛围。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（三）采用双路供电安全保障。采用统一的杀毒软件对服务器进行防毒保护。屏蔽竞赛现场使用的电脑 USB 接口。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（四）利用 UPS 防止现场因突然断电导致的系统数据丢失，额定功率：3KVA，后备时间：3.5 小时，电池类型：输出电压：230V±5%V。</w:t>
      </w:r>
    </w:p>
    <w:p>
      <w:pPr>
        <w:keepNext w:val="0"/>
        <w:keepLines w:val="0"/>
        <w:pageBreakBefore w:val="0"/>
        <w:widowControl/>
        <w:kinsoku/>
        <w:wordWrap/>
        <w:overflowPunct/>
        <w:topLinePunct w:val="0"/>
        <w:autoSpaceDE/>
        <w:autoSpaceDN/>
        <w:bidi w:val="0"/>
        <w:adjustRightInd w:val="0"/>
        <w:snapToGrid w:val="0"/>
        <w:spacing w:after="0" w:line="560" w:lineRule="exact"/>
        <w:ind w:firstLine="602" w:firstLineChars="200"/>
        <w:jc w:val="left"/>
        <w:textAlignment w:val="auto"/>
        <w:rPr>
          <w:rFonts w:hint="eastAsia" w:ascii="仿宋_GB2312" w:hAnsi="仿宋" w:eastAsia="仿宋_GB2312" w:cs="Times New Roman"/>
          <w:b/>
          <w:bCs/>
          <w:kern w:val="0"/>
          <w:sz w:val="30"/>
          <w:szCs w:val="30"/>
        </w:rPr>
      </w:pPr>
      <w:r>
        <w:rPr>
          <w:rFonts w:hint="eastAsia" w:ascii="仿宋_GB2312" w:hAnsi="仿宋" w:eastAsia="仿宋_GB2312" w:cs="Times New Roman"/>
          <w:b/>
          <w:bCs/>
          <w:kern w:val="0"/>
          <w:sz w:val="30"/>
          <w:szCs w:val="30"/>
        </w:rPr>
        <w:t>九、技术规范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（一）教育部发布的中等职业教育修订后的会计专业教学标准。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（二）2021年1月1日已经开始在一般企业实施的《企业会计准则》。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（三）《企业内部控制规范》《企业内部控制基本规范》。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（四）2021 年 1 月 1 日已经开始实施的《管理会计基本指引》 《管理会计应用指引》。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（五）2021 年 1 月 1 日已经开始实施的会计、金融、税务等财 经类法规、制度等。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（六）特殊情况以大赛规程和赛前说明会确定为准。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十、技术平台</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（一）竞赛使用设备、用具及软件</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比赛采用用友T3软件。客户端计算机要求系统厂牌与配置统一，出厂批次统一。</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（二）其他设备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1.技术服务设备：赛场配置服务器及网络设备，为赛项提供网络平台技术支持。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2.LED 大屏幕显示屏：赛场内设置 LED 大屏 1 块，实时滚动显示 赛场实况及竞赛成绩。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3.显示屏：可为裁判席配置监视屏，为展示和体验区配置显示屏。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十一、成绩评定 本赛项成绩评定全部由计算机自动评分，赛场大屏幕实时显示过程和结果成绩。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十二、奖项设定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以实际参赛队总数为基数，分设一、二、三等奖， 获奖比例分别为 10%、20%、30%（小数点后保留两位，第三位四舍五入，若出现成绩相同情况，可追溯到小数点后第三位）。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十三、赛场预案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（一）为保障大赛顺利进行，赛项执委会将在赛前组织专人对比赛现场进行考察，并对安全工作提出明确要求。赛场的布置、赛场内的器材、设备，应符合国家有关安全规定及竞赛的标准和要求。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（二）按照正式比赛所需的设备进行准备。同时做好预备方案。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（三）如选手计算机出现蓝屏、卡顿等故障，可举手示意，裁判有权暂停该选手比赛计时，待故障排除后，恢复竞赛，并对该选手进行延时补偿。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 xml:space="preserve">十四、赛项安全 赛事安全是会计技能竞赛一切工作顺利开展的先决条件，是赛事筹备和运行工作必须考虑的核心问题。赛项执委会采取切实有效措施保证大赛期间参赛选手、指导教师、裁判员、工作人员及观众的人身安全。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十五、申诉与仲裁 本赛项在比赛过程中若出现有失公正或有关人员违规等现象，代表队领队可在比赛结束后 2 小时之内向监督仲裁组提出书面申诉。书面申诉应对申诉事件的现象、发生时间、涉及人员、申诉依据等进行充分、实事求是的叙述，并由领队亲笔签名。非书面申诉不予受理。 赛项监督仲裁组在接到申诉后的 2 小时内组织复议，并及时反馈复议结果。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仿宋" w:hAnsi="仿宋" w:eastAsia="仿宋" w:cs="仿宋"/>
        <w:sz w:val="21"/>
        <w:szCs w:val="21"/>
      </w:rPr>
    </w:pPr>
    <w:r>
      <w:rPr>
        <w:sz w:val="21"/>
        <w:szCs w:val="21"/>
      </w:rPr>
      <w:t xml:space="preserve"> </w:t>
    </w:r>
  </w:p>
  <w:p>
    <w:pPr>
      <w:pStyle w:val="4"/>
      <w:jc w:val="left"/>
      <w:rPr>
        <w:rFonts w:hint="eastAsia" w:ascii="仿宋" w:hAnsi="仿宋" w:eastAsia="仿宋" w:cs="仿宋"/>
        <w:sz w:val="21"/>
        <w:szCs w:val="21"/>
      </w:rPr>
    </w:pPr>
    <w:r>
      <w:rPr>
        <w:rFonts w:hint="eastAsia"/>
      </w:rPr>
      <w:drawing>
        <wp:anchor distT="0" distB="0" distL="114300" distR="114300" simplePos="0" relativeHeight="251659264" behindDoc="0" locked="0" layoutInCell="1" allowOverlap="1">
          <wp:simplePos x="0" y="0"/>
          <wp:positionH relativeFrom="column">
            <wp:posOffset>-23495</wp:posOffset>
          </wp:positionH>
          <wp:positionV relativeFrom="paragraph">
            <wp:posOffset>73660</wp:posOffset>
          </wp:positionV>
          <wp:extent cx="535940" cy="534670"/>
          <wp:effectExtent l="0" t="0" r="16510" b="17780"/>
          <wp:wrapNone/>
          <wp:docPr id="5" name="图片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new"/>
                  <pic:cNvPicPr>
                    <a:picLocks noChangeAspect="1"/>
                  </pic:cNvPicPr>
                </pic:nvPicPr>
                <pic:blipFill>
                  <a:blip r:embed="rId1"/>
                  <a:stretch>
                    <a:fillRect/>
                  </a:stretch>
                </pic:blipFill>
                <pic:spPr>
                  <a:xfrm>
                    <a:off x="0" y="0"/>
                    <a:ext cx="535940" cy="534670"/>
                  </a:xfrm>
                  <a:prstGeom prst="rect">
                    <a:avLst/>
                  </a:prstGeom>
                  <a:noFill/>
                  <a:ln>
                    <a:noFill/>
                  </a:ln>
                </pic:spPr>
              </pic:pic>
            </a:graphicData>
          </a:graphic>
        </wp:anchor>
      </w:drawing>
    </w:r>
  </w:p>
  <w:p>
    <w:pPr>
      <w:pStyle w:val="4"/>
      <w:jc w:val="left"/>
      <w:rPr>
        <w:rFonts w:hint="eastAsia" w:ascii="仿宋" w:hAnsi="仿宋" w:eastAsia="仿宋" w:cs="仿宋"/>
        <w:sz w:val="21"/>
        <w:szCs w:val="21"/>
      </w:rPr>
    </w:pPr>
  </w:p>
  <w:p>
    <w:pPr>
      <w:pStyle w:val="4"/>
      <w:ind w:firstLine="946" w:firstLineChars="450"/>
      <w:jc w:val="left"/>
      <w:rPr>
        <w:rFonts w:ascii="华文行楷" w:hAnsi="仿宋" w:eastAsia="华文行楷" w:cs="仿宋"/>
        <w:sz w:val="21"/>
        <w:szCs w:val="21"/>
      </w:rPr>
    </w:pPr>
    <w:r>
      <w:rPr>
        <w:rFonts w:hint="eastAsia" w:ascii="华文行楷" w:hAnsi="仿宋" w:eastAsia="华文行楷" w:cs="仿宋"/>
        <w:b/>
        <w:bCs/>
        <w:sz w:val="21"/>
        <w:szCs w:val="21"/>
      </w:rPr>
      <w:t>隆  昌  市  城  关  职  业  中  学</w:t>
    </w:r>
  </w:p>
  <w:p>
    <w:pPr>
      <w:pStyle w:val="4"/>
      <w:jc w:val="left"/>
      <w:rPr>
        <w:rFonts w:hint="eastAsia" w:ascii="仿宋" w:hAnsi="仿宋" w:eastAsia="仿宋" w:cs="仿宋"/>
        <w:sz w:val="21"/>
        <w:szCs w:val="21"/>
      </w:rPr>
    </w:pPr>
    <w:r>
      <w:rPr>
        <w:rFonts w:hint="eastAsia" w:ascii="仿宋" w:hAnsi="仿宋" w:eastAsia="仿宋" w:cs="仿宋"/>
        <w:sz w:val="21"/>
        <w:szCs w:val="21"/>
      </w:rPr>
      <w:t xml:space="preserve">          LongChangShiChengGuanZhiYeZhongXue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hYzlhNzgwMzcwMjMwNzU2ZTE5MjE2MDY4YjIyMDkifQ=="/>
  </w:docVars>
  <w:rsids>
    <w:rsidRoot w:val="007303B9"/>
    <w:rsid w:val="000D75FE"/>
    <w:rsid w:val="002B17B8"/>
    <w:rsid w:val="003D72B8"/>
    <w:rsid w:val="004866BA"/>
    <w:rsid w:val="005373A3"/>
    <w:rsid w:val="007303B9"/>
    <w:rsid w:val="0091221C"/>
    <w:rsid w:val="009B2D07"/>
    <w:rsid w:val="009B7EEC"/>
    <w:rsid w:val="00D73DAB"/>
    <w:rsid w:val="00D75FCD"/>
    <w:rsid w:val="00D87CEF"/>
    <w:rsid w:val="00EF7A0C"/>
    <w:rsid w:val="2BE97B0D"/>
    <w:rsid w:val="3D067935"/>
    <w:rsid w:val="42C1157D"/>
    <w:rsid w:val="5C6F7917"/>
    <w:rsid w:val="6163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4558</Words>
  <Characters>4692</Characters>
  <Lines>35</Lines>
  <Paragraphs>9</Paragraphs>
  <TotalTime>2</TotalTime>
  <ScaleCrop>false</ScaleCrop>
  <LinksUpToDate>false</LinksUpToDate>
  <CharactersWithSpaces>4851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2023-04-15T08:41:00Z</dcterms:created>
  <dc:creator>ASUS</dc:creator>
  <cp:lastModifiedBy>邱敏</cp:lastModifiedBy>
  <dcterms:modified xsi:type="dcterms:W3CDTF">2023-04-17T13:29:27Z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6BC1EA28551F479AA91ACE3EF918BB05_12</vt:lpwstr>
  </property>
</Properties>
</file>